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716" w:rsidRDefault="00EF2716" w:rsidP="008C290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8C2900">
        <w:rPr>
          <w:rFonts w:ascii="Times New Roman" w:eastAsia="Times New Roman" w:hAnsi="Times New Roman" w:cs="Times New Roman"/>
          <w:b/>
          <w:bCs/>
          <w:sz w:val="28"/>
          <w:szCs w:val="28"/>
          <w:lang w:eastAsia="ru-RU"/>
        </w:rPr>
        <w:t>Порядок увольнения работников, входящих в состав профсоюзных органов</w:t>
      </w:r>
    </w:p>
    <w:p w:rsidR="008C2900" w:rsidRPr="008C2900" w:rsidRDefault="008C2900" w:rsidP="008C2900">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rsidR="00EF2716" w:rsidRPr="008C2900" w:rsidRDefault="00EF2716" w:rsidP="008C290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C2900">
        <w:rPr>
          <w:rFonts w:ascii="Times New Roman" w:eastAsia="Times New Roman" w:hAnsi="Times New Roman" w:cs="Times New Roman"/>
          <w:color w:val="000000"/>
          <w:sz w:val="24"/>
          <w:szCs w:val="24"/>
          <w:lang w:eastAsia="ru-RU"/>
        </w:rPr>
        <w:t>Согласно статье 374 Трудового кодекса Российской Федерации увольнение руководителей (их заместителей) выборных коллегиальных органов первичных профсоюзных организаций, выборных коллегиальных органов профсоюзной организации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F2716" w:rsidRPr="008C2900" w:rsidRDefault="00EF2716" w:rsidP="008C290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C2900">
        <w:rPr>
          <w:rFonts w:ascii="Times New Roman" w:eastAsia="Times New Roman" w:hAnsi="Times New Roman" w:cs="Times New Roman"/>
          <w:color w:val="000000"/>
          <w:sz w:val="24"/>
          <w:szCs w:val="24"/>
          <w:lang w:eastAsia="ru-RU"/>
        </w:rPr>
        <w:t>Таким образом, законодатель предусмотрел для работников, входящих в состав профсоюзных органов и не освобожденных от основной работы, дополнительные гарантии защиты их трудовых прав, с тем</w:t>
      </w:r>
      <w:r w:rsidRPr="008C2900">
        <w:rPr>
          <w:rFonts w:ascii="Times New Roman" w:eastAsia="Times New Roman" w:hAnsi="Times New Roman" w:cs="Times New Roman"/>
          <w:color w:val="333333"/>
          <w:sz w:val="24"/>
          <w:szCs w:val="24"/>
          <w:lang w:eastAsia="ru-RU"/>
        </w:rPr>
        <w:t>,</w:t>
      </w:r>
      <w:r w:rsidRPr="008C2900">
        <w:rPr>
          <w:rFonts w:ascii="Times New Roman" w:eastAsia="Times New Roman" w:hAnsi="Times New Roman" w:cs="Times New Roman"/>
          <w:color w:val="000000"/>
          <w:sz w:val="24"/>
          <w:szCs w:val="24"/>
          <w:lang w:eastAsia="ru-RU"/>
        </w:rPr>
        <w:t> чтобы осуществляемая такими лицами профсоюзная деятельность не повлекла для них неблагоприятные последствия, связанные с утратой работы и заработка.</w:t>
      </w:r>
    </w:p>
    <w:p w:rsidR="00EF2716" w:rsidRPr="008C2900" w:rsidRDefault="00EF2716" w:rsidP="008C290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C2900">
        <w:rPr>
          <w:rFonts w:ascii="Times New Roman" w:eastAsia="Times New Roman" w:hAnsi="Times New Roman" w:cs="Times New Roman"/>
          <w:color w:val="000000"/>
          <w:sz w:val="24"/>
          <w:szCs w:val="24"/>
          <w:lang w:eastAsia="ru-RU"/>
        </w:rPr>
        <w:t>Следует учитывать, что работодатель и работник - равноправные стороны трудового договора. Правовое регулирование, предполагающее получение работодателем предварительного согласия, фактически устанавливает запрет на увольнение таких работников без соблюдения процедуры согласования увольнения с вышестоящим выборным профсоюзным органом.</w:t>
      </w:r>
    </w:p>
    <w:p w:rsidR="00EF2716" w:rsidRPr="008C2900" w:rsidRDefault="00EF2716" w:rsidP="008C290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C2900">
        <w:rPr>
          <w:rFonts w:ascii="Times New Roman" w:eastAsia="Times New Roman" w:hAnsi="Times New Roman" w:cs="Times New Roman"/>
          <w:color w:val="000000"/>
          <w:sz w:val="24"/>
          <w:szCs w:val="24"/>
          <w:lang w:eastAsia="ru-RU"/>
        </w:rPr>
        <w:t>Для получения согласия вышестоящего выборного профсоюзного органа на увольнение работника, работодатель обязан представить мотивированное доказательство того, что предстоящее увольнение такого работника обусловлено организационно-штатными мероприятиями и не связано с осуществлением им профсоюзной деятельности.</w:t>
      </w:r>
    </w:p>
    <w:p w:rsidR="00EF2716" w:rsidRPr="008C2900" w:rsidRDefault="00EF2716" w:rsidP="008C290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C2900">
        <w:rPr>
          <w:rFonts w:ascii="Times New Roman" w:eastAsia="Times New Roman" w:hAnsi="Times New Roman" w:cs="Times New Roman"/>
          <w:color w:val="000000"/>
          <w:sz w:val="24"/>
          <w:szCs w:val="24"/>
          <w:lang w:eastAsia="ru-RU"/>
        </w:rPr>
        <w:t>В случае отказа вышестоящего выборного профсоюзного органа в согласии на увольнение работодатель вправе обратиться с заявлением в суд о признании его необоснованным.</w:t>
      </w:r>
    </w:p>
    <w:p w:rsidR="00EF2716" w:rsidRPr="008C2900" w:rsidRDefault="00EF2716" w:rsidP="008C290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C2900">
        <w:rPr>
          <w:rFonts w:ascii="Times New Roman" w:eastAsia="Times New Roman" w:hAnsi="Times New Roman" w:cs="Times New Roman"/>
          <w:color w:val="000000"/>
          <w:sz w:val="24"/>
          <w:szCs w:val="24"/>
          <w:lang w:eastAsia="ru-RU"/>
        </w:rPr>
        <w:t>Профсоюзный орган, не уполномочен оценивать обоснованность организационно-распорядительных решений, принимаемых работодателем, обязан представить суду доказательства того, что его отказ в согласии на увольнение конкретного работника обусловлен наличием объективных обстоятельств, подтверждающих преследование данного работника со стороны работодателя по причине его профсоюзной деятельности.</w:t>
      </w:r>
    </w:p>
    <w:p w:rsidR="008C2900" w:rsidRDefault="008C2900" w:rsidP="008C290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C2900" w:rsidRDefault="008C2900" w:rsidP="008C290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C2900" w:rsidRDefault="008C2900" w:rsidP="008C2900">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0" w:name="_GoBack"/>
      <w:bookmarkEnd w:id="0"/>
      <w:r>
        <w:rPr>
          <w:rFonts w:ascii="Times New Roman" w:eastAsia="Times New Roman" w:hAnsi="Times New Roman" w:cs="Times New Roman"/>
          <w:color w:val="333333"/>
          <w:sz w:val="28"/>
          <w:szCs w:val="28"/>
          <w:lang w:eastAsia="ru-RU"/>
        </w:rPr>
        <w:t>Помощник прокурора района                                                          Ю.А. Янькова</w:t>
      </w:r>
    </w:p>
    <w:p w:rsidR="00EC5AC5" w:rsidRDefault="00EC5AC5"/>
    <w:sectPr w:rsidR="00EC5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D99"/>
    <w:rsid w:val="00811D99"/>
    <w:rsid w:val="008C2900"/>
    <w:rsid w:val="00EC5AC5"/>
    <w:rsid w:val="00EF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B195"/>
  <w15:docId w15:val="{8D070D38-25F7-4795-8649-CA7A1BA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79046">
      <w:bodyDiv w:val="1"/>
      <w:marLeft w:val="0"/>
      <w:marRight w:val="0"/>
      <w:marTop w:val="0"/>
      <w:marBottom w:val="0"/>
      <w:divBdr>
        <w:top w:val="none" w:sz="0" w:space="0" w:color="auto"/>
        <w:left w:val="none" w:sz="0" w:space="0" w:color="auto"/>
        <w:bottom w:val="none" w:sz="0" w:space="0" w:color="auto"/>
        <w:right w:val="none" w:sz="0" w:space="0" w:color="auto"/>
      </w:divBdr>
    </w:div>
    <w:div w:id="1844975010">
      <w:bodyDiv w:val="1"/>
      <w:marLeft w:val="0"/>
      <w:marRight w:val="0"/>
      <w:marTop w:val="0"/>
      <w:marBottom w:val="0"/>
      <w:divBdr>
        <w:top w:val="none" w:sz="0" w:space="0" w:color="auto"/>
        <w:left w:val="none" w:sz="0" w:space="0" w:color="auto"/>
        <w:bottom w:val="none" w:sz="0" w:space="0" w:color="auto"/>
        <w:right w:val="none" w:sz="0" w:space="0" w:color="auto"/>
      </w:divBdr>
      <w:divsChild>
        <w:div w:id="1622954362">
          <w:marLeft w:val="0"/>
          <w:marRight w:val="0"/>
          <w:marTop w:val="0"/>
          <w:marBottom w:val="960"/>
          <w:divBdr>
            <w:top w:val="none" w:sz="0" w:space="0" w:color="auto"/>
            <w:left w:val="none" w:sz="0" w:space="0" w:color="auto"/>
            <w:bottom w:val="none" w:sz="0" w:space="0" w:color="auto"/>
            <w:right w:val="none" w:sz="0" w:space="0" w:color="auto"/>
          </w:divBdr>
        </w:div>
        <w:div w:id="2066679340">
          <w:marLeft w:val="0"/>
          <w:marRight w:val="720"/>
          <w:marTop w:val="0"/>
          <w:marBottom w:val="0"/>
          <w:divBdr>
            <w:top w:val="none" w:sz="0" w:space="0" w:color="auto"/>
            <w:left w:val="none" w:sz="0" w:space="0" w:color="auto"/>
            <w:bottom w:val="none" w:sz="0" w:space="0" w:color="auto"/>
            <w:right w:val="none" w:sz="0" w:space="0" w:color="auto"/>
          </w:divBdr>
          <w:divsChild>
            <w:div w:id="1410883948">
              <w:marLeft w:val="0"/>
              <w:marRight w:val="0"/>
              <w:marTop w:val="0"/>
              <w:marBottom w:val="120"/>
              <w:divBdr>
                <w:top w:val="none" w:sz="0" w:space="0" w:color="auto"/>
                <w:left w:val="none" w:sz="0" w:space="0" w:color="auto"/>
                <w:bottom w:val="none" w:sz="0" w:space="0" w:color="auto"/>
                <w:right w:val="none" w:sz="0" w:space="0" w:color="auto"/>
              </w:divBdr>
            </w:div>
            <w:div w:id="116027583">
              <w:marLeft w:val="0"/>
              <w:marRight w:val="0"/>
              <w:marTop w:val="0"/>
              <w:marBottom w:val="120"/>
              <w:divBdr>
                <w:top w:val="none" w:sz="0" w:space="0" w:color="auto"/>
                <w:left w:val="none" w:sz="0" w:space="0" w:color="auto"/>
                <w:bottom w:val="none" w:sz="0" w:space="0" w:color="auto"/>
                <w:right w:val="none" w:sz="0" w:space="0" w:color="auto"/>
              </w:divBdr>
            </w:div>
          </w:divsChild>
        </w:div>
        <w:div w:id="1844666915">
          <w:marLeft w:val="0"/>
          <w:marRight w:val="0"/>
          <w:marTop w:val="0"/>
          <w:marBottom w:val="0"/>
          <w:divBdr>
            <w:top w:val="none" w:sz="0" w:space="0" w:color="auto"/>
            <w:left w:val="none" w:sz="0" w:space="0" w:color="auto"/>
            <w:bottom w:val="none" w:sz="0" w:space="0" w:color="auto"/>
            <w:right w:val="none" w:sz="0" w:space="0" w:color="auto"/>
          </w:divBdr>
          <w:divsChild>
            <w:div w:id="189996160">
              <w:marLeft w:val="0"/>
              <w:marRight w:val="0"/>
              <w:marTop w:val="0"/>
              <w:marBottom w:val="0"/>
              <w:divBdr>
                <w:top w:val="none" w:sz="0" w:space="0" w:color="auto"/>
                <w:left w:val="none" w:sz="0" w:space="0" w:color="auto"/>
                <w:bottom w:val="none" w:sz="0" w:space="0" w:color="auto"/>
                <w:right w:val="none" w:sz="0" w:space="0" w:color="auto"/>
              </w:divBdr>
              <w:divsChild>
                <w:div w:id="14283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HP</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Янькова Юлия Андреевна</cp:lastModifiedBy>
  <cp:revision>4</cp:revision>
  <dcterms:created xsi:type="dcterms:W3CDTF">2021-06-27T05:34:00Z</dcterms:created>
  <dcterms:modified xsi:type="dcterms:W3CDTF">2021-06-27T07:38:00Z</dcterms:modified>
</cp:coreProperties>
</file>