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547E22" w:rsidP="00547E22">
      <w:r>
        <w:rPr>
          <w:noProof/>
          <w:lang w:eastAsia="ru-RU"/>
        </w:rPr>
        <w:drawing>
          <wp:inline distT="0" distB="0" distL="0" distR="0">
            <wp:extent cx="2395929" cy="619125"/>
            <wp:effectExtent l="19050" t="0" r="4371" b="0"/>
            <wp:docPr id="2" name="Рисунок 1" descr="C:\Users\BorodinaTA\Desktop\СОЦКАРТИНКА\Логотипы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СОЦКАРТИНКА\Логотипы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2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января по декабрь прошлого года с кадастрового учета снято более 630 тыс. земельных участков. 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 2019 году с кадастрового учета снято почти вдвое меньше земельных участков, чем в предыдущем – в 2018 году снято более 1,1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участков. 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2019 года учетная процедура проведена в отношении почти 5,4</w:t>
      </w:r>
      <w:r w:rsidR="009E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при этом к концу года снято с кадастрового учета более 630 тыс. земельных участков. В 2018 году поставлено на учет также около 5,4</w:t>
      </w:r>
      <w:r w:rsidR="009E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тогда как снято с учета почти вдвое больше земельных участков – более 1,1 млн.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число земельных участков, снятых с учета в прошлом году, в Алтайском крае – 96,2 тыс., Ставропольском крае – 30,9 тыс., Республике Башкортостан – 27,5 тыс., Саратовской области </w:t>
      </w:r>
      <w:r w:rsidRPr="00B1028A">
        <w:rPr>
          <w:rFonts w:ascii="Times New Roman" w:hAnsi="Times New Roman" w:cs="Times New Roman"/>
          <w:sz w:val="28"/>
          <w:szCs w:val="28"/>
        </w:rPr>
        <w:t>– 24,4</w:t>
      </w:r>
      <w:bookmarkStart w:id="0" w:name="_GoBack"/>
      <w:bookmarkEnd w:id="0"/>
      <w:r w:rsidRPr="00B1028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  <w:proofErr w:type="gramEnd"/>
    </w:p>
    <w:p w:rsidR="009E0A51" w:rsidRDefault="009E0A51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5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2019 году в </w:t>
      </w:r>
      <w:r w:rsidRPr="009E0A51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Республике Хакасия </w:t>
      </w:r>
      <w:r w:rsidR="00EE56DA">
        <w:rPr>
          <w:rFonts w:ascii="Times New Roman" w:hAnsi="Times New Roman" w:cs="Times New Roman"/>
          <w:sz w:val="28"/>
          <w:szCs w:val="28"/>
        </w:rPr>
        <w:t>на кадастровый учет поставлено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8A">
        <w:rPr>
          <w:rFonts w:ascii="Times New Roman" w:hAnsi="Times New Roman" w:cs="Times New Roman"/>
          <w:sz w:val="28"/>
          <w:szCs w:val="28"/>
        </w:rPr>
        <w:t>5,1 тыс.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за этот же период </w:t>
      </w:r>
      <w:r w:rsidR="00B1028A">
        <w:rPr>
          <w:rFonts w:ascii="Times New Roman" w:hAnsi="Times New Roman" w:cs="Times New Roman"/>
          <w:sz w:val="28"/>
          <w:szCs w:val="28"/>
        </w:rPr>
        <w:t>более 4,3 тыс.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было снято</w:t>
      </w:r>
      <w:r w:rsidR="00EE56DA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679">
        <w:rPr>
          <w:rFonts w:ascii="Times New Roman" w:hAnsi="Times New Roman" w:cs="Times New Roman"/>
          <w:sz w:val="28"/>
          <w:szCs w:val="28"/>
        </w:rPr>
        <w:t xml:space="preserve"> </w:t>
      </w:r>
      <w:r w:rsidR="00D16230">
        <w:rPr>
          <w:rFonts w:ascii="Times New Roman" w:hAnsi="Times New Roman" w:cs="Times New Roman"/>
          <w:sz w:val="28"/>
          <w:szCs w:val="28"/>
        </w:rPr>
        <w:t>В 2019 году, п</w:t>
      </w:r>
      <w:r>
        <w:rPr>
          <w:rFonts w:ascii="Times New Roman" w:hAnsi="Times New Roman" w:cs="Times New Roman"/>
          <w:sz w:val="28"/>
          <w:szCs w:val="28"/>
        </w:rPr>
        <w:t>о сравнению с 2018 годом</w:t>
      </w:r>
      <w:r w:rsidR="00D16230">
        <w:rPr>
          <w:rFonts w:ascii="Times New Roman" w:hAnsi="Times New Roman" w:cs="Times New Roman"/>
          <w:sz w:val="28"/>
          <w:szCs w:val="28"/>
        </w:rPr>
        <w:t>,</w:t>
      </w:r>
      <w:r w:rsidR="00B1028A">
        <w:rPr>
          <w:rFonts w:ascii="Times New Roman" w:hAnsi="Times New Roman" w:cs="Times New Roman"/>
          <w:sz w:val="28"/>
          <w:szCs w:val="28"/>
        </w:rPr>
        <w:t xml:space="preserve"> количество земельных участков, снятых с кадастрового учета, уменьшилось почти в три раза</w:t>
      </w:r>
      <w:r w:rsidR="00900890">
        <w:rPr>
          <w:rFonts w:ascii="Times New Roman" w:hAnsi="Times New Roman" w:cs="Times New Roman"/>
          <w:sz w:val="28"/>
          <w:szCs w:val="28"/>
        </w:rPr>
        <w:t xml:space="preserve">: с 12 тысяч до 4,3 тысяч. </w:t>
      </w:r>
      <w:r w:rsidR="00B1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«Государственный кадастровый учет позволяет систематизировать и упорядочить сведения об объектах недвижимости, в том числе о земельных участках, расположенных на территории Российской Федерации.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процедура регистрации закрепляет за</w:t>
      </w:r>
      <w:r w:rsidR="00BE2D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 право на земельный участок, позволяя совершать любые действия в отношении принадлежащих ему земель в соответствии с законодательством в сфере земельных отношений»,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 Екатерина Голованова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 и, соответственно, освобождение владельца от налогового бремени. Согласно Земельному кодексу РФ и федеральному закону «О государственной регистрации недвижимости»</w:t>
      </w:r>
      <w:r w:rsidR="00BE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проводилась. Если право на такой участок и далее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зарегистрировано, то после 1 марта 2022 года «временный» участок </w:t>
      </w:r>
      <w:hyperlink r:id="rId6" w:anchor="/document/71129192/paragraph/934/highlight/218-%D0%A4%D0%97: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будет снят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кадастрового учета.</w:t>
      </w:r>
    </w:p>
    <w:p w:rsidR="004F7A27" w:rsidRPr="0094384A" w:rsidRDefault="0094384A" w:rsidP="009438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4AC">
        <w:rPr>
          <w:rFonts w:ascii="Times New Roman" w:hAnsi="Times New Roman" w:cs="Times New Roman"/>
          <w:i/>
          <w:sz w:val="28"/>
          <w:szCs w:val="28"/>
        </w:rPr>
        <w:t>«Отсутствие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Едином государственном реестре недвижимости (ЕГРН) сведений о правообладателях земельных участков</w:t>
      </w:r>
      <w:r w:rsidRPr="009438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по-прежнему остается актуальной проблемой в нашем регионе. У жителей Хакасии еще есть время для того, чтобы зарегистрировать права на земельные участки, </w:t>
      </w:r>
      <w:r w:rsidR="000664AC">
        <w:rPr>
          <w:rFonts w:ascii="Times New Roman" w:hAnsi="Times New Roman" w:cs="Times New Roman"/>
          <w:bCs/>
          <w:i/>
          <w:sz w:val="28"/>
          <w:szCs w:val="28"/>
        </w:rPr>
        <w:t xml:space="preserve">имеющие «временный» </w:t>
      </w:r>
      <w:r>
        <w:rPr>
          <w:rFonts w:ascii="Times New Roman" w:hAnsi="Times New Roman" w:cs="Times New Roman"/>
          <w:bCs/>
          <w:i/>
          <w:sz w:val="28"/>
          <w:szCs w:val="28"/>
        </w:rPr>
        <w:t>статус</w:t>
      </w:r>
      <w:r w:rsidR="000664A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D1BC2">
        <w:rPr>
          <w:rFonts w:ascii="Times New Roman" w:hAnsi="Times New Roman" w:cs="Times New Roman"/>
          <w:bCs/>
          <w:i/>
          <w:sz w:val="28"/>
          <w:szCs w:val="28"/>
        </w:rPr>
        <w:t>По истечени</w:t>
      </w:r>
      <w:r w:rsidR="000664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D1BC2">
        <w:rPr>
          <w:rFonts w:ascii="Times New Roman" w:hAnsi="Times New Roman" w:cs="Times New Roman"/>
          <w:bCs/>
          <w:i/>
          <w:sz w:val="28"/>
          <w:szCs w:val="28"/>
        </w:rPr>
        <w:t xml:space="preserve"> срока, определенного законодательством</w:t>
      </w:r>
      <w:r w:rsidR="001540C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D1BC2">
        <w:rPr>
          <w:rFonts w:ascii="Times New Roman" w:hAnsi="Times New Roman" w:cs="Times New Roman"/>
          <w:bCs/>
          <w:i/>
          <w:sz w:val="28"/>
          <w:szCs w:val="28"/>
        </w:rPr>
        <w:t xml:space="preserve"> сведения об объектах недвижимости, которые носят временный характер, </w:t>
      </w:r>
      <w:r w:rsidR="001540C7">
        <w:rPr>
          <w:rFonts w:ascii="Times New Roman" w:hAnsi="Times New Roman" w:cs="Times New Roman"/>
          <w:bCs/>
          <w:i/>
          <w:sz w:val="28"/>
          <w:szCs w:val="28"/>
        </w:rPr>
        <w:t xml:space="preserve">будут </w:t>
      </w:r>
      <w:r w:rsidR="007D1BC2">
        <w:rPr>
          <w:rFonts w:ascii="Times New Roman" w:hAnsi="Times New Roman" w:cs="Times New Roman"/>
          <w:bCs/>
          <w:i/>
          <w:sz w:val="28"/>
          <w:szCs w:val="28"/>
        </w:rPr>
        <w:t>исключ</w:t>
      </w:r>
      <w:r w:rsidR="001540C7">
        <w:rPr>
          <w:rFonts w:ascii="Times New Roman" w:hAnsi="Times New Roman" w:cs="Times New Roman"/>
          <w:bCs/>
          <w:i/>
          <w:sz w:val="28"/>
          <w:szCs w:val="28"/>
        </w:rPr>
        <w:t xml:space="preserve">ены </w:t>
      </w:r>
      <w:r w:rsidR="007D1BC2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="001540C7">
        <w:rPr>
          <w:rFonts w:ascii="Times New Roman" w:hAnsi="Times New Roman" w:cs="Times New Roman"/>
          <w:bCs/>
          <w:i/>
          <w:sz w:val="28"/>
          <w:szCs w:val="28"/>
        </w:rPr>
        <w:t xml:space="preserve"> ЕГРН», - </w:t>
      </w:r>
      <w:r w:rsidR="001540C7" w:rsidRPr="001540C7">
        <w:rPr>
          <w:rFonts w:ascii="Times New Roman" w:hAnsi="Times New Roman" w:cs="Times New Roman"/>
          <w:bCs/>
          <w:sz w:val="28"/>
          <w:szCs w:val="28"/>
        </w:rPr>
        <w:t>поясняет</w:t>
      </w:r>
      <w:r w:rsidR="001540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623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</w:t>
      </w:r>
      <w:r w:rsidR="004F7A27" w:rsidRPr="00997B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ачальник отдела</w:t>
      </w:r>
      <w:r w:rsidR="004F7A27" w:rsidRPr="00997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27" w:rsidRPr="00997B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обработки документов и обеспечения учетных действий</w:t>
      </w:r>
      <w:r w:rsidR="00C022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Кадастровой палаты по Республике Хакасия</w:t>
      </w:r>
      <w:r w:rsidR="004F7A27" w:rsidRPr="00997B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6A274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Наталья Кочнева</w:t>
      </w:r>
      <w:r w:rsidR="001540C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7" w:anchor="/document/71129192/paragraph/628/highlight/218-%D0%A4%D0%97: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будет проведена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34762C" w:rsidRDefault="0034762C" w:rsidP="003476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34762C" w:rsidRDefault="0034762C" w:rsidP="0034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34762C" w:rsidRDefault="00C83F2C" w:rsidP="0034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объектов </w:t>
      </w:r>
      <w:r w:rsidR="0034762C">
        <w:rPr>
          <w:rFonts w:ascii="Times New Roman" w:hAnsi="Times New Roman" w:cs="Times New Roman"/>
          <w:sz w:val="28"/>
          <w:szCs w:val="28"/>
        </w:rPr>
        <w:t>недвижимости на таком участке, подтвержденное документально.</w:t>
      </w:r>
    </w:p>
    <w:p w:rsidR="000664AC" w:rsidRDefault="0034762C" w:rsidP="00347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Снятые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учета земельные участки получают статус свободных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неразграниченных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переходят в распоряжение уполномоченного органа местного самоуправления.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4762C" w:rsidRDefault="0034762C" w:rsidP="00347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</w:t>
      </w:r>
      <w:r w:rsidR="00BE2D0A">
        <w:rPr>
          <w:rFonts w:ascii="Times New Roman" w:hAnsi="Times New Roman" w:cs="Times New Roman"/>
          <w:i/>
          <w:iCs/>
          <w:sz w:val="28"/>
          <w:szCs w:val="28"/>
        </w:rPr>
        <w:t>ащие недостающие данные о право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обладателе. А если в ЕГРН отсутствуют сведения о земельных границах, то помимо прочего провести межевание участка»,</w:t>
      </w:r>
      <w:r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34762C" w:rsidRDefault="0034762C" w:rsidP="00347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удобным способом, в том числе онлайн – с помощью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нового 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34762C" w:rsidRDefault="0034762C" w:rsidP="00347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2205" w:rsidRPr="00AA1E93" w:rsidRDefault="00C02205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7E48CE" w:rsidP="000D7515">
      <w:pPr>
        <w:pStyle w:val="a7"/>
        <w:spacing w:before="0" w:beforeAutospacing="0" w:after="0" w:afterAutospacing="0" w:line="360" w:lineRule="auto"/>
      </w:pPr>
      <w:hyperlink r:id="rId10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84C39" w:rsidRDefault="000D7515" w:rsidP="00D16230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E84C39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664AC"/>
    <w:rsid w:val="000D7515"/>
    <w:rsid w:val="00136AC6"/>
    <w:rsid w:val="001540C7"/>
    <w:rsid w:val="0016474B"/>
    <w:rsid w:val="00183666"/>
    <w:rsid w:val="00192F71"/>
    <w:rsid w:val="001E520C"/>
    <w:rsid w:val="001F515E"/>
    <w:rsid w:val="00233F0F"/>
    <w:rsid w:val="00235AA8"/>
    <w:rsid w:val="00255D69"/>
    <w:rsid w:val="002726C2"/>
    <w:rsid w:val="00296A1C"/>
    <w:rsid w:val="002D0349"/>
    <w:rsid w:val="00313D6C"/>
    <w:rsid w:val="00346F09"/>
    <w:rsid w:val="0034762C"/>
    <w:rsid w:val="003B5140"/>
    <w:rsid w:val="003D275B"/>
    <w:rsid w:val="00411585"/>
    <w:rsid w:val="00423A14"/>
    <w:rsid w:val="00443C77"/>
    <w:rsid w:val="004B5EB2"/>
    <w:rsid w:val="004F7A27"/>
    <w:rsid w:val="00547E22"/>
    <w:rsid w:val="00580F70"/>
    <w:rsid w:val="00612EE2"/>
    <w:rsid w:val="00641686"/>
    <w:rsid w:val="00680FE4"/>
    <w:rsid w:val="006A2743"/>
    <w:rsid w:val="006E3226"/>
    <w:rsid w:val="00712324"/>
    <w:rsid w:val="007671CE"/>
    <w:rsid w:val="007D1BC2"/>
    <w:rsid w:val="007E48CE"/>
    <w:rsid w:val="008E109D"/>
    <w:rsid w:val="00900890"/>
    <w:rsid w:val="00904919"/>
    <w:rsid w:val="0094384A"/>
    <w:rsid w:val="00957EB9"/>
    <w:rsid w:val="00967DC1"/>
    <w:rsid w:val="00995AE8"/>
    <w:rsid w:val="009C61C2"/>
    <w:rsid w:val="009E0A51"/>
    <w:rsid w:val="00A362F6"/>
    <w:rsid w:val="00A77714"/>
    <w:rsid w:val="00AE76DA"/>
    <w:rsid w:val="00AF0590"/>
    <w:rsid w:val="00B06FB7"/>
    <w:rsid w:val="00B1028A"/>
    <w:rsid w:val="00BA34B9"/>
    <w:rsid w:val="00BB4C3D"/>
    <w:rsid w:val="00BE2D0A"/>
    <w:rsid w:val="00C02205"/>
    <w:rsid w:val="00C613BF"/>
    <w:rsid w:val="00C83F2C"/>
    <w:rsid w:val="00CA7A4E"/>
    <w:rsid w:val="00CD2DA2"/>
    <w:rsid w:val="00D15598"/>
    <w:rsid w:val="00D16230"/>
    <w:rsid w:val="00D345A4"/>
    <w:rsid w:val="00D53F6A"/>
    <w:rsid w:val="00DA66D0"/>
    <w:rsid w:val="00DB1D64"/>
    <w:rsid w:val="00E32699"/>
    <w:rsid w:val="00E84C39"/>
    <w:rsid w:val="00E95F7A"/>
    <w:rsid w:val="00EC4ECA"/>
    <w:rsid w:val="00EE56DA"/>
    <w:rsid w:val="00F22679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E7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19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DB85-E8E0-407A-B1ED-B98EA1A1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14</cp:revision>
  <cp:lastPrinted>2020-02-11T07:25:00Z</cp:lastPrinted>
  <dcterms:created xsi:type="dcterms:W3CDTF">2019-12-30T11:11:00Z</dcterms:created>
  <dcterms:modified xsi:type="dcterms:W3CDTF">2020-02-11T07:41:00Z</dcterms:modified>
</cp:coreProperties>
</file>