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B8" w:rsidRPr="00942AB8" w:rsidRDefault="00942AB8" w:rsidP="00942AB8">
      <w:pPr>
        <w:autoSpaceDE w:val="0"/>
        <w:autoSpaceDN w:val="0"/>
        <w:adjustRightInd w:val="0"/>
        <w:spacing w:after="0"/>
        <w:ind w:right="4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B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2AB8" w:rsidRPr="00942AB8" w:rsidRDefault="00942AB8" w:rsidP="00942AB8">
      <w:pPr>
        <w:autoSpaceDE w:val="0"/>
        <w:autoSpaceDN w:val="0"/>
        <w:adjustRightInd w:val="0"/>
        <w:spacing w:after="0"/>
        <w:ind w:right="4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B8">
        <w:rPr>
          <w:rFonts w:ascii="Times New Roman" w:hAnsi="Times New Roman" w:cs="Times New Roman"/>
          <w:b/>
          <w:sz w:val="28"/>
          <w:szCs w:val="28"/>
        </w:rPr>
        <w:t xml:space="preserve">Главы Копьевского поссовета </w:t>
      </w:r>
      <w:proofErr w:type="spellStart"/>
      <w:r w:rsidRPr="00942AB8">
        <w:rPr>
          <w:rFonts w:ascii="Times New Roman" w:hAnsi="Times New Roman" w:cs="Times New Roman"/>
          <w:b/>
          <w:sz w:val="28"/>
          <w:szCs w:val="28"/>
        </w:rPr>
        <w:t>Тайченачева</w:t>
      </w:r>
      <w:proofErr w:type="spellEnd"/>
      <w:r w:rsidRPr="00942AB8">
        <w:rPr>
          <w:rFonts w:ascii="Times New Roman" w:hAnsi="Times New Roman" w:cs="Times New Roman"/>
          <w:b/>
          <w:sz w:val="28"/>
          <w:szCs w:val="28"/>
        </w:rPr>
        <w:t xml:space="preserve"> А.И.за 2016 год</w:t>
      </w:r>
    </w:p>
    <w:p w:rsidR="00613B72" w:rsidRDefault="005A1AF2" w:rsidP="00D17195">
      <w:pPr>
        <w:autoSpaceDE w:val="0"/>
        <w:autoSpaceDN w:val="0"/>
        <w:adjustRightInd w:val="0"/>
        <w:ind w:right="49" w:firstLine="720"/>
        <w:jc w:val="both"/>
        <w:rPr>
          <w:b/>
          <w:bCs/>
          <w:color w:val="FF0000"/>
          <w:sz w:val="26"/>
          <w:szCs w:val="26"/>
        </w:rPr>
      </w:pPr>
      <w:r w:rsidRPr="005A1AF2">
        <w:rPr>
          <w:rFonts w:ascii="Times New Roman" w:hAnsi="Times New Roman" w:cs="Times New Roman"/>
          <w:sz w:val="28"/>
          <w:szCs w:val="28"/>
        </w:rPr>
        <w:t xml:space="preserve">   Развитие муниципального образования Копьевский поссовет в значительной мере было связано с реализацией  программы </w:t>
      </w:r>
      <w:r w:rsidRPr="005A1A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A1AF2">
        <w:rPr>
          <w:rFonts w:ascii="Times New Roman" w:hAnsi="Times New Roman" w:cs="Times New Roman"/>
          <w:bCs/>
          <w:sz w:val="28"/>
          <w:szCs w:val="28"/>
        </w:rPr>
        <w:t>Социально-экономическое развитие муниципального образования Копьевский поссовет на 2016-2020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13B72" w:rsidRPr="00613B72">
        <w:rPr>
          <w:sz w:val="26"/>
          <w:szCs w:val="26"/>
        </w:rPr>
        <w:t xml:space="preserve"> </w:t>
      </w:r>
      <w:r w:rsidR="00613B72" w:rsidRPr="00613B72">
        <w:rPr>
          <w:rFonts w:ascii="Times New Roman" w:hAnsi="Times New Roman" w:cs="Times New Roman"/>
          <w:sz w:val="28"/>
          <w:szCs w:val="28"/>
        </w:rPr>
        <w:t xml:space="preserve">Главной стратегической целью развития муниципального образования Копьевский поссовет является– </w:t>
      </w:r>
      <w:proofErr w:type="gramStart"/>
      <w:r w:rsidR="00613B72" w:rsidRPr="00613B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13B72" w:rsidRPr="00613B72">
        <w:rPr>
          <w:rFonts w:ascii="Times New Roman" w:hAnsi="Times New Roman" w:cs="Times New Roman"/>
          <w:sz w:val="28"/>
          <w:szCs w:val="28"/>
        </w:rPr>
        <w:t xml:space="preserve">вышение уровня жизни населения муниципального образования Копьевский поссовет через обеспечение экономического и социального развития, создание комфортных условий жизни населения. </w:t>
      </w:r>
      <w:proofErr w:type="gramStart"/>
      <w:r w:rsidR="00613B72" w:rsidRPr="00613B72">
        <w:rPr>
          <w:rFonts w:ascii="Times New Roman" w:hAnsi="Times New Roman" w:cs="Times New Roman"/>
          <w:sz w:val="28"/>
          <w:szCs w:val="28"/>
        </w:rPr>
        <w:t>Первоначальный планируемый объем финансирования Программы на 2016 год составлял 7832,0 тыс. руб., с учетом корректировки данной Программы, утвержденной решением Совета депутатов Копьевского поссовета</w:t>
      </w:r>
      <w:r w:rsidR="00613B72" w:rsidRPr="00613B72">
        <w:rPr>
          <w:rFonts w:ascii="Times New Roman" w:hAnsi="Times New Roman" w:cs="Times New Roman"/>
          <w:color w:val="000000"/>
          <w:sz w:val="28"/>
          <w:szCs w:val="28"/>
        </w:rPr>
        <w:t xml:space="preserve"> от 14 июля 2017 года</w:t>
      </w:r>
      <w:r w:rsidR="00613B72" w:rsidRPr="00613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3B72" w:rsidRPr="00613B72">
        <w:rPr>
          <w:rFonts w:ascii="Times New Roman" w:hAnsi="Times New Roman" w:cs="Times New Roman"/>
          <w:color w:val="000000"/>
          <w:sz w:val="28"/>
          <w:szCs w:val="28"/>
        </w:rPr>
        <w:t xml:space="preserve">№ 25/17  объём финансирования составил 845,4 тыс. руб. или 10,8 % к первоначальному плановому показателю, в том числе: </w:t>
      </w:r>
      <w:r w:rsidR="00613B72" w:rsidRPr="00613B72">
        <w:rPr>
          <w:rFonts w:ascii="Times New Roman" w:hAnsi="Times New Roman" w:cs="Times New Roman"/>
          <w:sz w:val="28"/>
          <w:szCs w:val="28"/>
        </w:rPr>
        <w:t>бюджет Республики Хакасия – 0 тыс. руб., местный бюджет – 845,4 тыс. руб.,</w:t>
      </w:r>
      <w:r w:rsidR="00613B72" w:rsidRPr="00C4589C">
        <w:rPr>
          <w:sz w:val="26"/>
          <w:szCs w:val="26"/>
        </w:rPr>
        <w:t xml:space="preserve"> </w:t>
      </w:r>
      <w:r w:rsidR="00613B72" w:rsidRPr="00674B04">
        <w:rPr>
          <w:b/>
          <w:bCs/>
          <w:color w:val="FF0000"/>
          <w:sz w:val="26"/>
          <w:szCs w:val="26"/>
        </w:rPr>
        <w:t xml:space="preserve"> </w:t>
      </w:r>
      <w:proofErr w:type="gramEnd"/>
    </w:p>
    <w:p w:rsidR="00782943" w:rsidRPr="00782943" w:rsidRDefault="00782943" w:rsidP="00942AB8">
      <w:pPr>
        <w:autoSpaceDE w:val="0"/>
        <w:autoSpaceDN w:val="0"/>
        <w:adjustRightInd w:val="0"/>
        <w:spacing w:after="0"/>
        <w:ind w:right="49"/>
        <w:rPr>
          <w:rFonts w:ascii="Times New Roman" w:hAnsi="Times New Roman" w:cs="Times New Roman"/>
          <w:b/>
          <w:bCs/>
          <w:sz w:val="28"/>
          <w:szCs w:val="28"/>
        </w:rPr>
      </w:pPr>
      <w:r w:rsidRPr="00782943">
        <w:rPr>
          <w:rFonts w:ascii="Times New Roman" w:hAnsi="Times New Roman" w:cs="Times New Roman"/>
          <w:b/>
          <w:bCs/>
          <w:sz w:val="28"/>
          <w:szCs w:val="28"/>
        </w:rPr>
        <w:t>ДЕМОГРАФИЧЕСКАЯ СИТУАЦИЯ</w:t>
      </w:r>
    </w:p>
    <w:p w:rsidR="00782943" w:rsidRDefault="00782943" w:rsidP="00942A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43">
        <w:rPr>
          <w:rFonts w:ascii="Times New Roman" w:hAnsi="Times New Roman" w:cs="Times New Roman"/>
          <w:sz w:val="28"/>
          <w:szCs w:val="28"/>
        </w:rPr>
        <w:t>В муниципальном образовании Копьевский поссовет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2943">
        <w:rPr>
          <w:rFonts w:ascii="Times New Roman" w:hAnsi="Times New Roman" w:cs="Times New Roman"/>
          <w:sz w:val="28"/>
          <w:szCs w:val="28"/>
        </w:rPr>
        <w:t xml:space="preserve"> году улучшились 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демографические показатели:</w:t>
      </w:r>
    </w:p>
    <w:p w:rsidR="00782943" w:rsidRDefault="00782943" w:rsidP="00942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увеличилась численность населения на 4,1</w:t>
      </w:r>
      <w:r w:rsidR="002078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82943">
        <w:rPr>
          <w:rFonts w:ascii="Times New Roman" w:hAnsi="Times New Roman" w:cs="Times New Roman"/>
          <w:sz w:val="28"/>
          <w:szCs w:val="28"/>
        </w:rPr>
        <w:t>показатель рождаемости  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2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2943">
        <w:rPr>
          <w:rFonts w:ascii="Times New Roman" w:hAnsi="Times New Roman" w:cs="Times New Roman"/>
          <w:sz w:val="28"/>
          <w:szCs w:val="28"/>
        </w:rPr>
        <w:t xml:space="preserve"> на 1000 человек населения) превышает показатель смертности (</w:t>
      </w:r>
      <w:r>
        <w:rPr>
          <w:rFonts w:ascii="Times New Roman" w:hAnsi="Times New Roman" w:cs="Times New Roman"/>
          <w:sz w:val="28"/>
          <w:szCs w:val="28"/>
        </w:rPr>
        <w:t>9,4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1000 человек населения.</w:t>
      </w:r>
    </w:p>
    <w:p w:rsidR="002078D8" w:rsidRDefault="002078D8" w:rsidP="00782943">
      <w:pPr>
        <w:jc w:val="both"/>
        <w:rPr>
          <w:rFonts w:ascii="Times New Roman" w:hAnsi="Times New Roman" w:cs="Times New Roman"/>
          <w:sz w:val="28"/>
          <w:szCs w:val="28"/>
        </w:rPr>
      </w:pPr>
      <w:r w:rsidRPr="002078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3908" cy="3859619"/>
            <wp:effectExtent l="19050" t="0" r="16392" b="7531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924A8E" w:rsidRPr="00924A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9722" cy="3902149"/>
            <wp:effectExtent l="19050" t="0" r="17278" b="3101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4A8E" w:rsidRPr="00C04CD6" w:rsidRDefault="00924A8E" w:rsidP="00782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D6">
        <w:rPr>
          <w:rFonts w:ascii="Times New Roman" w:hAnsi="Times New Roman" w:cs="Times New Roman"/>
          <w:b/>
          <w:sz w:val="28"/>
          <w:szCs w:val="28"/>
        </w:rPr>
        <w:lastRenderedPageBreak/>
        <w:t>Занятость населения</w:t>
      </w:r>
    </w:p>
    <w:p w:rsidR="00924A8E" w:rsidRPr="00C04CD6" w:rsidRDefault="00924A8E" w:rsidP="007267A1">
      <w:pPr>
        <w:shd w:val="clear" w:color="auto" w:fill="FFFFFF"/>
        <w:spacing w:after="0"/>
        <w:ind w:left="5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CD6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в Центр занятости Орджоникидзевского района за содействием в поиске подходящей работы обратилось </w:t>
      </w:r>
      <w:r w:rsidR="00942AB8">
        <w:rPr>
          <w:rFonts w:ascii="Times New Roman" w:hAnsi="Times New Roman" w:cs="Times New Roman"/>
          <w:color w:val="000000"/>
          <w:sz w:val="28"/>
          <w:szCs w:val="28"/>
        </w:rPr>
        <w:t>216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из них статус безработного получили </w:t>
      </w:r>
      <w:r w:rsidR="00942AB8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назначено пособие по безработице </w:t>
      </w:r>
      <w:r w:rsidR="00942AB8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t xml:space="preserve"> лицам.</w:t>
      </w:r>
    </w:p>
    <w:p w:rsidR="00924A8E" w:rsidRPr="00C04CD6" w:rsidRDefault="00942AB8" w:rsidP="007267A1">
      <w:pPr>
        <w:shd w:val="clear" w:color="auto" w:fill="FFFFFF"/>
        <w:spacing w:after="0"/>
        <w:ind w:left="5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24A8E" w:rsidRPr="00C04CD6">
        <w:rPr>
          <w:rFonts w:ascii="Times New Roman" w:hAnsi="Times New Roman" w:cs="Times New Roman"/>
          <w:color w:val="000000"/>
          <w:sz w:val="28"/>
          <w:szCs w:val="28"/>
        </w:rPr>
        <w:t xml:space="preserve">начительно уменьшился   уровень регистрируемой безработицы к численности экономически активного населения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поселку</w:t>
      </w:r>
      <w:r w:rsidR="00924A8E" w:rsidRPr="00C04CD6">
        <w:rPr>
          <w:rFonts w:ascii="Times New Roman" w:hAnsi="Times New Roman" w:cs="Times New Roman"/>
          <w:color w:val="000000"/>
          <w:sz w:val="28"/>
          <w:szCs w:val="28"/>
        </w:rPr>
        <w:t>, так если на 01.01.2016г. данный показатель составлял 3,7%, то на 01.01.2017г. он составил 3,3%.</w:t>
      </w:r>
    </w:p>
    <w:p w:rsidR="00924A8E" w:rsidRPr="00FE0B58" w:rsidRDefault="00924A8E" w:rsidP="00924A8E">
      <w:pPr>
        <w:pStyle w:val="a5"/>
        <w:rPr>
          <w:sz w:val="24"/>
          <w:szCs w:val="24"/>
        </w:rPr>
      </w:pPr>
      <w:r w:rsidRPr="00924A8E">
        <w:rPr>
          <w:noProof/>
          <w:sz w:val="24"/>
          <w:szCs w:val="24"/>
        </w:rPr>
        <w:drawing>
          <wp:inline distT="0" distB="0" distL="0" distR="0">
            <wp:extent cx="3043127" cy="3232298"/>
            <wp:effectExtent l="19050" t="0" r="23923" b="6202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3F05" w:rsidRDefault="000E3F05" w:rsidP="000E3F05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0E3F05" w:rsidRPr="000E3F05" w:rsidRDefault="000E3F05" w:rsidP="000E3F05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F05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0E3F05" w:rsidRPr="000E3F05" w:rsidRDefault="000E3F05" w:rsidP="000E3F05">
      <w:pPr>
        <w:autoSpaceDE w:val="0"/>
        <w:autoSpaceDN w:val="0"/>
        <w:adjustRightInd w:val="0"/>
        <w:ind w:right="49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E3F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Доходная часть бюджета</w:t>
      </w:r>
    </w:p>
    <w:p w:rsidR="000E3F05" w:rsidRDefault="000E3F05" w:rsidP="000E3F05">
      <w:p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0E3F0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0E3F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 2016 год  в  бюджет муниципального образования Копьевский поссовет поступило доходов 27,7 млн. рублей,  в целом к уровню 2015 года общий объем доходов уменьшился в 2 раза. </w:t>
      </w:r>
      <w:r w:rsidRPr="000E3F05">
        <w:rPr>
          <w:rFonts w:ascii="Times New Roman" w:hAnsi="Times New Roman" w:cs="Times New Roman"/>
          <w:sz w:val="28"/>
          <w:szCs w:val="28"/>
        </w:rPr>
        <w:t xml:space="preserve">Причиной такого уменьшения  бюджета является  поступление средств на ликвидацию </w:t>
      </w:r>
      <w:proofErr w:type="gramStart"/>
      <w:r w:rsidRPr="000E3F05">
        <w:rPr>
          <w:rFonts w:ascii="Times New Roman" w:hAnsi="Times New Roman" w:cs="Times New Roman"/>
          <w:sz w:val="28"/>
          <w:szCs w:val="28"/>
        </w:rPr>
        <w:t>чрезвычайной ситуации, возникшей 12 апреля 2015 года в результате природных пожаров с сильным порывистым ветром более 25 м/сек</w:t>
      </w:r>
      <w:proofErr w:type="gramEnd"/>
      <w:r w:rsidRPr="000E3F05">
        <w:rPr>
          <w:rFonts w:ascii="Times New Roman" w:hAnsi="Times New Roman" w:cs="Times New Roman"/>
          <w:sz w:val="28"/>
          <w:szCs w:val="28"/>
        </w:rPr>
        <w:t xml:space="preserve"> и возгоранием жилых домов в населенных пунктах на территории Орджоникидзевского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F05" w:rsidRPr="000E3F05" w:rsidRDefault="000E3F05" w:rsidP="000E3F05">
      <w:pPr>
        <w:ind w:right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F05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29713" cy="2780015"/>
            <wp:effectExtent l="19050" t="0" r="13837" b="1285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1637" w:rsidRPr="005A1637" w:rsidRDefault="005A1637" w:rsidP="005A1637">
      <w:pPr>
        <w:pStyle w:val="msonospacing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A1AF2" w:rsidRPr="005A1AF2" w:rsidRDefault="00D17195" w:rsidP="00C717A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195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313887" cy="2604342"/>
            <wp:effectExtent l="19050" t="0" r="20113" b="5508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1AF2" w:rsidRDefault="00D17195" w:rsidP="00C717A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195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313887" cy="2551814"/>
            <wp:effectExtent l="19050" t="0" r="20113" b="886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1AF2" w:rsidRDefault="00D17195" w:rsidP="00C717A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195"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807592" cy="3019646"/>
            <wp:effectExtent l="19050" t="0" r="21708" b="9304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17A2" w:rsidRPr="00C717A2" w:rsidRDefault="00C717A2" w:rsidP="005A1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bCs/>
          <w:iCs/>
          <w:sz w:val="28"/>
          <w:szCs w:val="28"/>
        </w:rPr>
        <w:t xml:space="preserve">В период 2015-2016 гг. Администрацией Копьевского поссовета проведена активная работа по инвентаризации объектов недвижимости, данные о выявленных в ходе инвентаризации земельных участках и объектах капитального строительства, права на которые не зарегистрированы, переданы в органы по надзору за использованием и охраной земель. Проведена разъяснительная деятельность среди населения путем распространения листовок под роспись и печати в СМИ, в которых рекомендовано гражданам </w:t>
      </w:r>
      <w:proofErr w:type="gramStart"/>
      <w:r w:rsidRPr="00C717A2">
        <w:rPr>
          <w:rFonts w:ascii="Times New Roman" w:hAnsi="Times New Roman" w:cs="Times New Roman"/>
          <w:bCs/>
          <w:iCs/>
          <w:sz w:val="28"/>
          <w:szCs w:val="28"/>
        </w:rPr>
        <w:t>провести</w:t>
      </w:r>
      <w:proofErr w:type="gramEnd"/>
      <w:r w:rsidRPr="00C717A2">
        <w:rPr>
          <w:rFonts w:ascii="Times New Roman" w:hAnsi="Times New Roman" w:cs="Times New Roman"/>
          <w:bCs/>
          <w:iCs/>
          <w:sz w:val="28"/>
          <w:szCs w:val="28"/>
        </w:rPr>
        <w:t xml:space="preserve"> кадастровые работы по уточнению местоположения границ и площади земельных участков, а также зарегистрировать право собственности.</w:t>
      </w:r>
    </w:p>
    <w:p w:rsidR="00C717A2" w:rsidRPr="00C717A2" w:rsidRDefault="00C717A2" w:rsidP="00C717A2">
      <w:pPr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bCs/>
          <w:iCs/>
          <w:sz w:val="28"/>
          <w:szCs w:val="28"/>
        </w:rPr>
        <w:t xml:space="preserve">   В период 2015 -2016 г.г. предоставлено в собственность за плату – 93 земельных участка, в собственность безвозмездно – 14 земельных участков, в аренду – 44 земельных участка.</w:t>
      </w:r>
    </w:p>
    <w:p w:rsidR="00C717A2" w:rsidRPr="00C717A2" w:rsidRDefault="00C717A2" w:rsidP="00C717A2">
      <w:pPr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bCs/>
          <w:iCs/>
          <w:sz w:val="28"/>
          <w:szCs w:val="28"/>
        </w:rPr>
        <w:t xml:space="preserve">   В результате повысились в 2016 г. поступления в бюджет:</w:t>
      </w:r>
    </w:p>
    <w:p w:rsidR="00C717A2" w:rsidRPr="00C717A2" w:rsidRDefault="00C717A2" w:rsidP="00C717A2">
      <w:pPr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bCs/>
          <w:iCs/>
          <w:sz w:val="28"/>
          <w:szCs w:val="28"/>
        </w:rPr>
        <w:t>- земельный налог на 18% по сравнению с 2015 годом и на 82% по сравнению с 2014 годом.</w:t>
      </w:r>
    </w:p>
    <w:p w:rsidR="00C717A2" w:rsidRPr="00C717A2" w:rsidRDefault="00C717A2" w:rsidP="00C717A2">
      <w:pPr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bCs/>
          <w:iCs/>
          <w:sz w:val="28"/>
          <w:szCs w:val="28"/>
        </w:rPr>
        <w:t xml:space="preserve">   На все нежилые помещения, находящиеся в аренде, проведена независимая экспертиза по рыночной стоимости этого имущества. На основании этого составлены дополнительные соглашения по новой цене, в результате доходы от собственности повысились 2016 г. на 27% по сравнению с 2015 годом.</w:t>
      </w:r>
    </w:p>
    <w:p w:rsidR="00C717A2" w:rsidRDefault="00C717A2" w:rsidP="00C717A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17A2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Прогнозного плана (Программы) приватизации муниципального имущества муниципального образования Копьевский поссовет на 2016 год, доходы от продажи имущества увеличились в 3,5 раза. </w:t>
      </w:r>
    </w:p>
    <w:p w:rsidR="00632879" w:rsidRPr="00C717A2" w:rsidRDefault="00613B72" w:rsidP="00C717A2">
      <w:pPr>
        <w:jc w:val="both"/>
        <w:rPr>
          <w:rFonts w:ascii="Times New Roman" w:hAnsi="Times New Roman" w:cs="Times New Roman"/>
          <w:sz w:val="28"/>
          <w:szCs w:val="28"/>
        </w:rPr>
      </w:pPr>
      <w:r w:rsidRPr="00613B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73866" cy="2711302"/>
            <wp:effectExtent l="19050" t="0" r="12434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F05" w:rsidRPr="000E3F05" w:rsidRDefault="000E3F05" w:rsidP="000E3F05">
      <w:pPr>
        <w:ind w:right="4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F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E3F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Расходная часть бюджета</w:t>
      </w:r>
      <w:r w:rsidRPr="000E3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3F05" w:rsidRPr="000E3F05" w:rsidRDefault="000E3F05" w:rsidP="000E3F05">
      <w:pPr>
        <w:ind w:right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F05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5A163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3F05">
        <w:rPr>
          <w:rFonts w:ascii="Times New Roman" w:hAnsi="Times New Roman" w:cs="Times New Roman"/>
          <w:color w:val="000000"/>
          <w:sz w:val="28"/>
          <w:szCs w:val="28"/>
        </w:rPr>
        <w:t xml:space="preserve"> год  профинансирован</w:t>
      </w:r>
      <w:r w:rsidR="005A16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F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1637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сумму </w:t>
      </w:r>
      <w:r w:rsidRPr="000E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637">
        <w:rPr>
          <w:rFonts w:ascii="Times New Roman" w:hAnsi="Times New Roman" w:cs="Times New Roman"/>
          <w:color w:val="000000"/>
          <w:sz w:val="28"/>
          <w:szCs w:val="28"/>
        </w:rPr>
        <w:t>27,5</w:t>
      </w:r>
      <w:r w:rsidRPr="000E3F05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0E3F05" w:rsidRPr="000E3F05" w:rsidRDefault="000E3F05" w:rsidP="000E3F05">
      <w:pPr>
        <w:ind w:right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F0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E3F05">
        <w:rPr>
          <w:rFonts w:ascii="Times New Roman" w:hAnsi="Times New Roman" w:cs="Times New Roman"/>
          <w:color w:val="000000"/>
          <w:sz w:val="28"/>
          <w:szCs w:val="28"/>
        </w:rPr>
        <w:tab/>
        <w:t>По сравнению с 201</w:t>
      </w:r>
      <w:r w:rsidR="005A163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E3F05">
        <w:rPr>
          <w:rFonts w:ascii="Times New Roman" w:hAnsi="Times New Roman" w:cs="Times New Roman"/>
          <w:color w:val="000000"/>
          <w:sz w:val="28"/>
          <w:szCs w:val="28"/>
        </w:rPr>
        <w:t xml:space="preserve"> годом расходная часть бюджета у</w:t>
      </w:r>
      <w:r w:rsidR="005A1637">
        <w:rPr>
          <w:rFonts w:ascii="Times New Roman" w:hAnsi="Times New Roman" w:cs="Times New Roman"/>
          <w:color w:val="000000"/>
          <w:sz w:val="28"/>
          <w:szCs w:val="28"/>
        </w:rPr>
        <w:t>меньшилась 54%</w:t>
      </w:r>
      <w:r w:rsidRPr="000E3F05"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 ликвидации ЧС.</w:t>
      </w:r>
    </w:p>
    <w:p w:rsidR="000E3F05" w:rsidRPr="000E3F05" w:rsidRDefault="000E3F05" w:rsidP="000E3F05">
      <w:pPr>
        <w:pStyle w:val="msonospacing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3F05">
        <w:rPr>
          <w:rFonts w:ascii="Times New Roman" w:hAnsi="Times New Roman"/>
          <w:sz w:val="28"/>
          <w:szCs w:val="28"/>
        </w:rPr>
        <w:t>Профинансировано в 201</w:t>
      </w:r>
      <w:r w:rsidR="00F64C78">
        <w:rPr>
          <w:rFonts w:ascii="Times New Roman" w:hAnsi="Times New Roman"/>
          <w:sz w:val="28"/>
          <w:szCs w:val="28"/>
        </w:rPr>
        <w:t>6</w:t>
      </w:r>
      <w:r w:rsidRPr="000E3F05">
        <w:rPr>
          <w:rFonts w:ascii="Times New Roman" w:hAnsi="Times New Roman"/>
          <w:sz w:val="28"/>
          <w:szCs w:val="28"/>
        </w:rPr>
        <w:t xml:space="preserve"> году из местного бюджета  </w:t>
      </w:r>
      <w:r w:rsidR="00F64C78">
        <w:rPr>
          <w:rFonts w:ascii="Times New Roman" w:hAnsi="Times New Roman"/>
          <w:sz w:val="28"/>
          <w:szCs w:val="28"/>
        </w:rPr>
        <w:t>8</w:t>
      </w:r>
      <w:r w:rsidRPr="000E3F05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 w:rsidR="00F64C78">
        <w:rPr>
          <w:rFonts w:ascii="Times New Roman" w:hAnsi="Times New Roman"/>
          <w:sz w:val="28"/>
          <w:szCs w:val="28"/>
        </w:rPr>
        <w:t>1 030,9 тыс.</w:t>
      </w:r>
      <w:r w:rsidRPr="000E3F05">
        <w:rPr>
          <w:rFonts w:ascii="Times New Roman" w:hAnsi="Times New Roman"/>
          <w:sz w:val="28"/>
          <w:szCs w:val="28"/>
        </w:rPr>
        <w:t xml:space="preserve"> рублей</w:t>
      </w:r>
      <w:r w:rsidR="00F64C78">
        <w:rPr>
          <w:rFonts w:ascii="Times New Roman" w:hAnsi="Times New Roman"/>
          <w:sz w:val="28"/>
          <w:szCs w:val="28"/>
        </w:rPr>
        <w:t>, что в 2 раза больше, чем в 2015 году.</w:t>
      </w:r>
      <w:r w:rsidRPr="000E3F05">
        <w:rPr>
          <w:rFonts w:ascii="Times New Roman" w:hAnsi="Times New Roman"/>
          <w:sz w:val="28"/>
          <w:szCs w:val="28"/>
        </w:rPr>
        <w:t xml:space="preserve"> </w:t>
      </w:r>
    </w:p>
    <w:p w:rsidR="00F64C78" w:rsidRPr="00F64C78" w:rsidRDefault="00F64C78" w:rsidP="00F64C78">
      <w:pPr>
        <w:autoSpaceDE w:val="0"/>
        <w:autoSpaceDN w:val="0"/>
        <w:adjustRightInd w:val="0"/>
        <w:ind w:right="49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C78">
        <w:rPr>
          <w:rFonts w:ascii="Times New Roman" w:hAnsi="Times New Roman" w:cs="Times New Roman"/>
          <w:b/>
          <w:sz w:val="28"/>
          <w:szCs w:val="28"/>
          <w:u w:val="single"/>
        </w:rPr>
        <w:t>ИСПОЛНЕНИЕ МЕРОПРИЯТИЙ ПРОГРАММЫ «СОЦИАЛЬНО - ЭКОНОМИЧЕСКОЕ  РАЗВИТИЕ МУНИЦИПАЛЬНОГО ОБРАЗОВАНИЯ КОПЬЕВСКИЙ ПОССОВЕТ НА 2016 – 2020 годы»</w:t>
      </w:r>
    </w:p>
    <w:p w:rsidR="00F64C78" w:rsidRPr="00F64C78" w:rsidRDefault="00F64C78" w:rsidP="00F64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78">
        <w:rPr>
          <w:rFonts w:ascii="Times New Roman" w:hAnsi="Times New Roman" w:cs="Times New Roman"/>
          <w:sz w:val="28"/>
          <w:szCs w:val="28"/>
        </w:rPr>
        <w:t>В  Программе  «Социально-экономическое развитие муниципального образования Копьевский поссовет за 2016 год»  запланировано 12 мероприятий на сумму 7832,0 тыс. руб., фактически выполнено 11 мероприятий на сумму 845,4 тыс. руб. или это составляет 10,8%, причина не выполнения – недостаточность   бюджетных сре</w:t>
      </w:r>
      <w:proofErr w:type="gramStart"/>
      <w:r w:rsidRPr="00F64C7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64C78">
        <w:rPr>
          <w:rFonts w:ascii="Times New Roman" w:hAnsi="Times New Roman" w:cs="Times New Roman"/>
          <w:sz w:val="28"/>
          <w:szCs w:val="28"/>
        </w:rPr>
        <w:t xml:space="preserve">юджете поселения. </w:t>
      </w:r>
    </w:p>
    <w:p w:rsid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C78" w:rsidRP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C78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F64C78" w:rsidRPr="00F64C78" w:rsidRDefault="00F64C78" w:rsidP="00F6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C78">
        <w:rPr>
          <w:rFonts w:ascii="Times New Roman" w:hAnsi="Times New Roman" w:cs="Times New Roman"/>
          <w:sz w:val="28"/>
          <w:szCs w:val="28"/>
        </w:rPr>
        <w:t>По Программе запланировано 2 мероприятие на сумму 366,0 тыс. руб., фактически выполнено 1 мероприятие на сумму 100.0 тыс. руб., причина не выполнения – недостаточность   бюджетных сре</w:t>
      </w:r>
      <w:proofErr w:type="gramStart"/>
      <w:r w:rsidRPr="00F64C7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64C78">
        <w:rPr>
          <w:rFonts w:ascii="Times New Roman" w:hAnsi="Times New Roman" w:cs="Times New Roman"/>
          <w:sz w:val="28"/>
          <w:szCs w:val="28"/>
        </w:rPr>
        <w:t xml:space="preserve">юджете поселения. </w:t>
      </w:r>
    </w:p>
    <w:p w:rsid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C78" w:rsidRP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C78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F64C78" w:rsidRPr="00F64C78" w:rsidRDefault="00F64C78" w:rsidP="00F6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C78">
        <w:rPr>
          <w:rFonts w:ascii="Times New Roman" w:hAnsi="Times New Roman" w:cs="Times New Roman"/>
          <w:sz w:val="28"/>
          <w:szCs w:val="28"/>
        </w:rPr>
        <w:t xml:space="preserve">По Программе запланировано 3 мероприятия на сумму 80,0 тыс. руб., фактически выполнено 2 мероприятия на сумму 288,2 тыс. руб. или это составляет 360,2%. </w:t>
      </w:r>
    </w:p>
    <w:p w:rsidR="00F64C78" w:rsidRP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C78">
        <w:rPr>
          <w:rFonts w:ascii="Times New Roman" w:hAnsi="Times New Roman" w:cs="Times New Roman"/>
          <w:b/>
          <w:sz w:val="28"/>
          <w:szCs w:val="28"/>
        </w:rPr>
        <w:lastRenderedPageBreak/>
        <w:t>ЖИЛИЩНО_КОММУНАЛЬНОЕ</w:t>
      </w:r>
      <w:proofErr w:type="gramEnd"/>
      <w:r w:rsidRPr="00F64C78">
        <w:rPr>
          <w:rFonts w:ascii="Times New Roman" w:hAnsi="Times New Roman" w:cs="Times New Roman"/>
          <w:b/>
          <w:sz w:val="28"/>
          <w:szCs w:val="28"/>
        </w:rPr>
        <w:t xml:space="preserve"> ХОЗЯЙСТВО</w:t>
      </w:r>
    </w:p>
    <w:p w:rsidR="00F64C78" w:rsidRPr="00F64C78" w:rsidRDefault="00F64C78" w:rsidP="00F64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C78">
        <w:rPr>
          <w:rFonts w:ascii="Times New Roman" w:hAnsi="Times New Roman" w:cs="Times New Roman"/>
          <w:sz w:val="28"/>
          <w:szCs w:val="28"/>
        </w:rPr>
        <w:t>По Программе запланировано 4 мероприятия на сумму 6971,0 тыс. руб., фактически выполнено 2 мероприятия на сумму 156,1 тыс. руб. или это составляет 2,2%, причина не выполнения – недостаточность   бюджетных сре</w:t>
      </w:r>
      <w:proofErr w:type="gramStart"/>
      <w:r w:rsidRPr="00F64C7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64C78">
        <w:rPr>
          <w:rFonts w:ascii="Times New Roman" w:hAnsi="Times New Roman" w:cs="Times New Roman"/>
          <w:sz w:val="28"/>
          <w:szCs w:val="28"/>
        </w:rPr>
        <w:t xml:space="preserve">юджете поселения. </w:t>
      </w:r>
    </w:p>
    <w:p w:rsid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C78" w:rsidRP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C78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</w:p>
    <w:p w:rsidR="00F64C78" w:rsidRPr="00F64C78" w:rsidRDefault="00F64C78" w:rsidP="00F6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C78">
        <w:rPr>
          <w:rFonts w:ascii="Times New Roman" w:hAnsi="Times New Roman" w:cs="Times New Roman"/>
          <w:sz w:val="28"/>
          <w:szCs w:val="28"/>
        </w:rPr>
        <w:t>По Программе запланировано 1 мероприятие на сумму 150,0 тыс. руб., фактически выполнено 1 мероприятие на сумму 150,0 тыс. руб. и это составляет 100%.</w:t>
      </w:r>
    </w:p>
    <w:p w:rsid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C78" w:rsidRP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C78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F64C78" w:rsidRPr="00F64C78" w:rsidRDefault="00F64C78" w:rsidP="00F6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C78">
        <w:rPr>
          <w:rFonts w:ascii="Times New Roman" w:hAnsi="Times New Roman" w:cs="Times New Roman"/>
          <w:sz w:val="28"/>
          <w:szCs w:val="28"/>
        </w:rPr>
        <w:t xml:space="preserve">По Программе запланировано 1 мероприятие на сумму 25,0 тыс. руб., фактически выполнено 4 мероприятия на сумму 143,9 тыс. руб. или это составляет 575,6%. </w:t>
      </w:r>
    </w:p>
    <w:p w:rsid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C78">
        <w:rPr>
          <w:rFonts w:ascii="Times New Roman" w:hAnsi="Times New Roman" w:cs="Times New Roman"/>
          <w:b/>
          <w:sz w:val="28"/>
          <w:szCs w:val="28"/>
        </w:rPr>
        <w:t>ГО ЧС</w:t>
      </w:r>
    </w:p>
    <w:p w:rsidR="00F64C78" w:rsidRPr="00F64C78" w:rsidRDefault="00F64C78" w:rsidP="00F6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C78">
        <w:rPr>
          <w:rFonts w:ascii="Times New Roman" w:hAnsi="Times New Roman" w:cs="Times New Roman"/>
          <w:sz w:val="28"/>
          <w:szCs w:val="28"/>
        </w:rPr>
        <w:t>По Программе запланировано 1 мероприятие на сумму 240,0 тыс. руб., фактически выполнено 1 мероприятие на сумму 7,2 тыс. руб. или это составляет 3%, причина не выполнения – недостаточность   бюджетных сре</w:t>
      </w:r>
      <w:proofErr w:type="gramStart"/>
      <w:r w:rsidRPr="00F64C7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64C78">
        <w:rPr>
          <w:rFonts w:ascii="Times New Roman" w:hAnsi="Times New Roman" w:cs="Times New Roman"/>
          <w:sz w:val="28"/>
          <w:szCs w:val="28"/>
        </w:rPr>
        <w:t xml:space="preserve">юджете поселения. </w:t>
      </w:r>
    </w:p>
    <w:p w:rsidR="00F64C78" w:rsidRPr="00F64C78" w:rsidRDefault="00F64C78" w:rsidP="00F64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3F" w:rsidRPr="00DD7D3F" w:rsidRDefault="00110539" w:rsidP="00DD7D3F">
      <w:pPr>
        <w:autoSpaceDE w:val="0"/>
        <w:autoSpaceDN w:val="0"/>
        <w:adjustRightInd w:val="0"/>
        <w:ind w:right="4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539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</w:t>
      </w:r>
      <w:r w:rsidRPr="00DD7D3F">
        <w:rPr>
          <w:rFonts w:ascii="Times New Roman" w:hAnsi="Times New Roman" w:cs="Times New Roman"/>
          <w:color w:val="000000"/>
          <w:sz w:val="28"/>
          <w:szCs w:val="28"/>
        </w:rPr>
        <w:t xml:space="preserve">большую проделанную работу в рамках реализации Программы, </w:t>
      </w:r>
      <w:r w:rsidR="00DD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D3F">
        <w:rPr>
          <w:rFonts w:ascii="Times New Roman" w:hAnsi="Times New Roman" w:cs="Times New Roman"/>
          <w:color w:val="000000"/>
          <w:sz w:val="28"/>
          <w:szCs w:val="28"/>
        </w:rPr>
        <w:t xml:space="preserve"> не все поставленные задачи удалось решить.</w:t>
      </w:r>
      <w:r w:rsidR="00DD7D3F" w:rsidRPr="00DD7D3F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Отрицательными факторами, негативно влияющими на развитие поселения являются: отдаленность от городов республиканского центра и Красноярского края; неблагоприятные климатические условия и связанные с ними повышенные затраты на от</w:t>
      </w:r>
      <w:r w:rsidR="00DD7D3F">
        <w:rPr>
          <w:rFonts w:ascii="Times New Roman" w:hAnsi="Times New Roman" w:cs="Times New Roman"/>
          <w:color w:val="000000"/>
          <w:sz w:val="28"/>
          <w:szCs w:val="28"/>
        </w:rPr>
        <w:t>опление; низкое плодородие почв</w:t>
      </w:r>
      <w:r w:rsidR="00DD7D3F" w:rsidRPr="00DD7D3F">
        <w:rPr>
          <w:rFonts w:ascii="Times New Roman" w:hAnsi="Times New Roman" w:cs="Times New Roman"/>
          <w:color w:val="000000"/>
          <w:sz w:val="28"/>
          <w:szCs w:val="28"/>
        </w:rPr>
        <w:t>; высокая степень изношенности оборудования и коммуникаций ЖКХ; высокий уровень общей безработицы;</w:t>
      </w:r>
      <w:r w:rsidR="00DD7D3F" w:rsidRPr="00DD7D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7D3F" w:rsidRPr="00DD7D3F">
        <w:rPr>
          <w:rFonts w:ascii="Times New Roman" w:hAnsi="Times New Roman" w:cs="Times New Roman"/>
          <w:color w:val="000000"/>
          <w:sz w:val="28"/>
          <w:szCs w:val="28"/>
        </w:rPr>
        <w:t>высокая смертность населения; очень низкий (незначительный) промышленный потенциал.</w:t>
      </w:r>
    </w:p>
    <w:p w:rsidR="00F64C78" w:rsidRPr="00110539" w:rsidRDefault="00F64C78" w:rsidP="00F64C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7A2" w:rsidRPr="00110539" w:rsidRDefault="00C717A2" w:rsidP="00F6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A2" w:rsidRPr="00F64C78" w:rsidRDefault="00C717A2" w:rsidP="00F64C78">
      <w:pPr>
        <w:spacing w:after="0"/>
        <w:jc w:val="both"/>
        <w:rPr>
          <w:sz w:val="28"/>
          <w:szCs w:val="28"/>
        </w:rPr>
      </w:pPr>
    </w:p>
    <w:p w:rsidR="00C717A2" w:rsidRPr="00F64C78" w:rsidRDefault="00C717A2" w:rsidP="00F64C78">
      <w:pPr>
        <w:spacing w:after="0"/>
        <w:jc w:val="both"/>
        <w:rPr>
          <w:sz w:val="28"/>
          <w:szCs w:val="28"/>
        </w:rPr>
      </w:pPr>
    </w:p>
    <w:p w:rsidR="00C717A2" w:rsidRPr="00F64C78" w:rsidRDefault="00C717A2" w:rsidP="00F64C78">
      <w:pPr>
        <w:spacing w:after="0"/>
        <w:jc w:val="both"/>
        <w:rPr>
          <w:sz w:val="28"/>
          <w:szCs w:val="28"/>
        </w:rPr>
      </w:pPr>
    </w:p>
    <w:p w:rsidR="00C717A2" w:rsidRPr="00F64C78" w:rsidRDefault="00C717A2" w:rsidP="00F64C78">
      <w:pPr>
        <w:spacing w:after="0"/>
        <w:jc w:val="both"/>
        <w:rPr>
          <w:sz w:val="28"/>
          <w:szCs w:val="28"/>
        </w:rPr>
      </w:pPr>
    </w:p>
    <w:p w:rsidR="00C05545" w:rsidRPr="00C717A2" w:rsidRDefault="00C05545" w:rsidP="00C717A2">
      <w:pPr>
        <w:jc w:val="both"/>
      </w:pPr>
    </w:p>
    <w:sectPr w:rsidR="00C05545" w:rsidRPr="00C717A2" w:rsidSect="00C0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17A2"/>
    <w:rsid w:val="000028C2"/>
    <w:rsid w:val="000820A9"/>
    <w:rsid w:val="000B4115"/>
    <w:rsid w:val="000E3F05"/>
    <w:rsid w:val="00110539"/>
    <w:rsid w:val="002078D8"/>
    <w:rsid w:val="004275D3"/>
    <w:rsid w:val="005A1637"/>
    <w:rsid w:val="005A1AF2"/>
    <w:rsid w:val="00613B72"/>
    <w:rsid w:val="00632879"/>
    <w:rsid w:val="00675E21"/>
    <w:rsid w:val="007267A1"/>
    <w:rsid w:val="0077558C"/>
    <w:rsid w:val="00782943"/>
    <w:rsid w:val="00924A8E"/>
    <w:rsid w:val="00942AB8"/>
    <w:rsid w:val="00C01A47"/>
    <w:rsid w:val="00C04CD6"/>
    <w:rsid w:val="00C05545"/>
    <w:rsid w:val="00C15D60"/>
    <w:rsid w:val="00C717A2"/>
    <w:rsid w:val="00C94749"/>
    <w:rsid w:val="00D17195"/>
    <w:rsid w:val="00DD7D3F"/>
    <w:rsid w:val="00F6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24A8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24A8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E3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3F05"/>
  </w:style>
  <w:style w:type="paragraph" w:customStyle="1" w:styleId="msonospacing0">
    <w:name w:val="msonospacing"/>
    <w:rsid w:val="000E3F0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4503</c:v>
                </c:pt>
                <c:pt idx="1">
                  <c:v>4457</c:v>
                </c:pt>
                <c:pt idx="2">
                  <c:v>4638</c:v>
                </c:pt>
              </c:numCache>
            </c:numRef>
          </c:val>
        </c:ser>
        <c:dLbls>
          <c:showVal val="1"/>
        </c:dLbls>
        <c:axId val="92722688"/>
        <c:axId val="92796416"/>
      </c:barChart>
      <c:catAx>
        <c:axId val="927226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2796416"/>
        <c:crosses val="autoZero"/>
        <c:auto val="1"/>
        <c:lblAlgn val="ctr"/>
        <c:lblOffset val="100"/>
      </c:catAx>
      <c:valAx>
        <c:axId val="92796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2722688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51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49</c:v>
                </c:pt>
                <c:pt idx="2">
                  <c:v>42</c:v>
                </c:pt>
              </c:numCache>
            </c:numRef>
          </c:val>
        </c:ser>
        <c:dLbls>
          <c:showVal val="1"/>
        </c:dLbls>
        <c:axId val="98352128"/>
        <c:axId val="99140352"/>
      </c:barChart>
      <c:catAx>
        <c:axId val="983521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9140352"/>
        <c:crosses val="autoZero"/>
        <c:auto val="1"/>
        <c:lblAlgn val="ctr"/>
        <c:lblOffset val="100"/>
      </c:catAx>
      <c:valAx>
        <c:axId val="991403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835212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безработицы, %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7.4</c:v>
                </c:pt>
                <c:pt idx="1">
                  <c:v>3.7</c:v>
                </c:pt>
                <c:pt idx="2">
                  <c:v>3.3</c:v>
                </c:pt>
              </c:numCache>
            </c:numRef>
          </c:val>
        </c:ser>
        <c:dLbls>
          <c:showVal val="1"/>
        </c:dLbls>
        <c:axId val="140925184"/>
        <c:axId val="98512896"/>
      </c:barChart>
      <c:catAx>
        <c:axId val="140925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8512896"/>
        <c:crosses val="autoZero"/>
        <c:auto val="1"/>
        <c:lblAlgn val="ctr"/>
        <c:lblOffset val="100"/>
      </c:catAx>
      <c:valAx>
        <c:axId val="985128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0925184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 sz="1400"/>
              <a:t>Доходы бюджета - всего</a:t>
            </a:r>
            <a:endParaRPr lang="en-US" sz="1400"/>
          </a:p>
        </c:rich>
      </c:tx>
    </c:title>
    <c:plotArea>
      <c:layout>
        <c:manualLayout>
          <c:layoutTarget val="inner"/>
          <c:xMode val="edge"/>
          <c:yMode val="edge"/>
          <c:x val="0.23880446264366606"/>
          <c:y val="0.1635797648362512"/>
          <c:w val="0.76119553735633516"/>
          <c:h val="0.625500797998672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18127518,0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13789417423837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59556193,2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27694224,7</a:t>
                    </a:r>
                  </a:p>
                </c:rich>
              </c:tx>
              <c:showVal val="1"/>
            </c:dLbl>
            <c:txPr>
              <a:bodyPr rot="0" vert="horz"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18127518.059999999</c:v>
                </c:pt>
                <c:pt idx="1">
                  <c:v>59556193.25</c:v>
                </c:pt>
                <c:pt idx="2">
                  <c:v>27694224.760000002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38-4353-AB63-4AEB4EAE2B22}"/>
            </c:ext>
          </c:extLst>
        </c:ser>
        <c:gapWidth val="219"/>
        <c:overlap val="-27"/>
        <c:axId val="80956800"/>
        <c:axId val="92718208"/>
      </c:barChart>
      <c:catAx>
        <c:axId val="809568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92718208"/>
        <c:crosses val="autoZero"/>
        <c:auto val="1"/>
        <c:lblAlgn val="ctr"/>
        <c:lblOffset val="100"/>
      </c:catAx>
      <c:valAx>
        <c:axId val="927182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809568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из них: Налоговые доходы</a:t>
            </a:r>
            <a:endParaRPr 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6816936.4300000034</c:v>
                </c:pt>
                <c:pt idx="1">
                  <c:v>8182508.04</c:v>
                </c:pt>
                <c:pt idx="2">
                  <c:v>9829601.6099999771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77-4DA8-B1D5-7F447CE7E6DB}"/>
            </c:ext>
          </c:extLst>
        </c:ser>
        <c:dLbls>
          <c:showVal val="1"/>
        </c:dLbls>
        <c:gapWidth val="219"/>
        <c:overlap val="-27"/>
        <c:axId val="103285504"/>
        <c:axId val="103287040"/>
      </c:barChart>
      <c:catAx>
        <c:axId val="103285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03287040"/>
        <c:crosses val="autoZero"/>
        <c:auto val="1"/>
        <c:lblAlgn val="ctr"/>
        <c:lblOffset val="100"/>
      </c:catAx>
      <c:valAx>
        <c:axId val="103287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032855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Неналоговые доходы</a:t>
            </a:r>
            <a:endParaRPr 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1013729.5</c:v>
                </c:pt>
                <c:pt idx="1">
                  <c:v>525815.99</c:v>
                </c:pt>
                <c:pt idx="2">
                  <c:v>2472294.96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95-440D-932F-C9DF77C87E1F}"/>
            </c:ext>
          </c:extLst>
        </c:ser>
        <c:gapWidth val="219"/>
        <c:overlap val="-27"/>
        <c:axId val="103339904"/>
        <c:axId val="103341440"/>
      </c:barChart>
      <c:catAx>
        <c:axId val="1033399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03341440"/>
        <c:crosses val="autoZero"/>
        <c:auto val="1"/>
        <c:lblAlgn val="ctr"/>
        <c:lblOffset val="100"/>
      </c:catAx>
      <c:valAx>
        <c:axId val="103341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033399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Безвозмездные поступления бюджетов </a:t>
            </a:r>
          </a:p>
          <a:p>
            <a:pPr>
              <a:defRPr sz="1200"/>
            </a:pPr>
            <a:r>
              <a:rPr lang="ru-RU" sz="1200"/>
              <a:t>бюджетной системы Российской Федерации</a:t>
            </a:r>
            <a:endParaRPr lang="en-US" sz="1200"/>
          </a:p>
        </c:rich>
      </c:tx>
    </c:title>
    <c:plotArea>
      <c:layout>
        <c:manualLayout>
          <c:layoutTarget val="inner"/>
          <c:xMode val="edge"/>
          <c:yMode val="edge"/>
          <c:x val="0.10909967559289518"/>
          <c:y val="0.17055106264995415"/>
          <c:w val="0.87898287606843428"/>
          <c:h val="0.730825791224718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10299367.189999985</c:v>
                </c:pt>
                <c:pt idx="1">
                  <c:v>50776069.220000073</c:v>
                </c:pt>
                <c:pt idx="2">
                  <c:v>15222848.189999985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2F-4A72-96B1-CCB562DD7369}"/>
            </c:ext>
          </c:extLst>
        </c:ser>
        <c:dLbls>
          <c:showVal val="1"/>
        </c:dLbls>
        <c:gapWidth val="219"/>
        <c:overlap val="-27"/>
        <c:axId val="103349248"/>
        <c:axId val="98423552"/>
      </c:barChart>
      <c:catAx>
        <c:axId val="103349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98423552"/>
        <c:crosses val="autoZero"/>
        <c:auto val="1"/>
        <c:lblAlgn val="ctr"/>
        <c:lblOffset val="100"/>
      </c:catAx>
      <c:valAx>
        <c:axId val="98423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0334924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4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7828,2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8780,1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8.1586189706520495E-3"/>
                  <c:y val="-1.5119545604081411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12471,4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7828.2</c:v>
                </c:pt>
                <c:pt idx="1">
                  <c:v>8780.1</c:v>
                </c:pt>
                <c:pt idx="2">
                  <c:v>12471.4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Земельный налог</c:v>
                </c:pt>
              </c:strCache>
            </c:strRef>
          </c:tx>
          <c:dLbls>
            <c:dLbl>
              <c:idx val="0"/>
              <c:layout>
                <c:manualLayout>
                  <c:x val="1.359769828442016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980,4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/>
                      <a:t>1512,4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5.439079313768079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1784,3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980.4</c:v>
                </c:pt>
                <c:pt idx="1">
                  <c:v>1512.4</c:v>
                </c:pt>
                <c:pt idx="2">
                  <c:v>1784.3</c:v>
                </c:pt>
              </c:numCache>
            </c:numRef>
          </c:val>
        </c:ser>
        <c:dLbls>
          <c:showVal val="1"/>
        </c:dLbls>
        <c:axId val="112506368"/>
        <c:axId val="112507904"/>
      </c:barChart>
      <c:catAx>
        <c:axId val="112506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2507904"/>
        <c:crosses val="autoZero"/>
        <c:auto val="1"/>
        <c:lblAlgn val="ctr"/>
        <c:lblOffset val="100"/>
      </c:catAx>
      <c:valAx>
        <c:axId val="112507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250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78850803913125"/>
          <c:y val="0.30087340178267841"/>
          <c:w val="0.34149195230398544"/>
          <c:h val="0.4990497702900536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22</cp:revision>
  <cp:lastPrinted>2017-09-20T09:00:00Z</cp:lastPrinted>
  <dcterms:created xsi:type="dcterms:W3CDTF">2017-09-20T06:57:00Z</dcterms:created>
  <dcterms:modified xsi:type="dcterms:W3CDTF">2017-09-20T09:00:00Z</dcterms:modified>
</cp:coreProperties>
</file>